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0758A">
      <w:pPr>
        <w:keepNext/>
        <w:spacing w:before="240" w:after="60" w:line="360" w:lineRule="auto"/>
        <w:jc w:val="left"/>
        <w:outlineLvl w:val="0"/>
        <w:rPr>
          <w:rFonts w:ascii="宋体" w:hAnsi="宋体" w:eastAsia="宋体" w:cs="宋体"/>
          <w:b/>
          <w:bCs/>
          <w:color w:val="000000" w:themeColor="text1"/>
          <w:w w:val="105"/>
          <w:kern w:val="32"/>
          <w:sz w:val="36"/>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p>
    <w:p w14:paraId="62CDB83D">
      <w:pPr>
        <w:keepNext/>
        <w:spacing w:before="240" w:after="60" w:line="360" w:lineRule="auto"/>
        <w:jc w:val="center"/>
        <w:outlineLvl w:val="0"/>
        <w:rPr>
          <w:rFonts w:ascii="宋体" w:hAnsi="宋体" w:eastAsia="宋体" w:cs="宋体"/>
          <w:b/>
          <w:bCs/>
          <w:color w:val="000000" w:themeColor="text1"/>
          <w:w w:val="105"/>
          <w:kern w:val="32"/>
          <w:sz w:val="30"/>
          <w:szCs w:val="30"/>
          <w14:textFill>
            <w14:solidFill>
              <w14:schemeClr w14:val="tx1"/>
            </w14:solidFill>
          </w14:textFill>
        </w:rPr>
      </w:pPr>
      <w:r>
        <w:rPr>
          <w:rFonts w:hint="eastAsia" w:ascii="宋体" w:hAnsi="宋体" w:eastAsia="宋体" w:cs="宋体"/>
          <w:b/>
          <w:bCs/>
          <w:color w:val="000000" w:themeColor="text1"/>
          <w:w w:val="105"/>
          <w:kern w:val="32"/>
          <w:sz w:val="30"/>
          <w:szCs w:val="30"/>
          <w14:textFill>
            <w14:solidFill>
              <w14:schemeClr w14:val="tx1"/>
            </w14:solidFill>
          </w14:textFill>
        </w:rPr>
        <w:t>瞬态-稳态光谱仪技术参数与配置</w:t>
      </w:r>
    </w:p>
    <w:p w14:paraId="19082369">
      <w:pPr>
        <w:pStyle w:val="6"/>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一、技术参数</w:t>
      </w:r>
    </w:p>
    <w:p w14:paraId="684335FA">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1.光学系统结构: L型光路，搭载光源及探测器、光栅等光学元件，实现全光谱范围内的高光谱检测效率； </w:t>
      </w:r>
    </w:p>
    <w:p w14:paraId="757AB8EB">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2.光源: </w:t>
      </w:r>
      <w:bookmarkStart w:id="1" w:name="_GoBack"/>
      <w:bookmarkEnd w:id="1"/>
    </w:p>
    <w:p w14:paraId="00150E4E">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2.1 复合光源及分光系统: </w:t>
      </w:r>
    </w:p>
    <w:p w14:paraId="42D26E6C">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 除臭氧氙灯（集成式电源），可以显示功率、电压、电流和使用时间，功率≥450W；</w:t>
      </w:r>
      <w:r>
        <w:rPr>
          <w:rFonts w:hint="eastAsia" w:ascii="宋体" w:hAnsi="宋体" w:eastAsia="宋体" w:cs="宋体"/>
          <w:b/>
          <w:bCs/>
          <w:color w:val="000000" w:themeColor="text1"/>
          <w14:textFill>
            <w14:solidFill>
              <w14:schemeClr w14:val="tx1"/>
            </w14:solidFill>
          </w14:textFill>
        </w:rPr>
        <w:t>（须提供产品彩页资料进行佐证）</w:t>
      </w:r>
    </w:p>
    <w:p w14:paraId="1DE305E5">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▲2.1.2高能量脉冲氙灯，光谱脉宽1.5到2.5μs，平均能量≥60W，重复频率：0.1~100Hz；</w:t>
      </w:r>
      <w:r>
        <w:rPr>
          <w:rFonts w:hint="eastAsia" w:ascii="宋体" w:hAnsi="宋体" w:eastAsia="宋体" w:cs="宋体"/>
          <w:b/>
          <w:bCs/>
          <w:color w:val="000000" w:themeColor="text1"/>
          <w14:textFill>
            <w14:solidFill>
              <w14:schemeClr w14:val="tx1"/>
            </w14:solidFill>
          </w14:textFill>
        </w:rPr>
        <w:t>（须提供产品彩页资料进行佐证）</w:t>
      </w:r>
    </w:p>
    <w:p w14:paraId="2965EF72">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2.1.3单色器为对称型Czerny-Turne结构，焦距：≥325mm； </w:t>
      </w:r>
    </w:p>
    <w:p w14:paraId="469FA64E">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2.1.4带宽：0-30nm； </w:t>
      </w:r>
    </w:p>
    <w:p w14:paraId="75BBD985">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2.1.5波长准确度：±0.2nm；</w:t>
      </w:r>
    </w:p>
    <w:p w14:paraId="4294C5B1">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2.1.6波长重复性：±0.1nm； </w:t>
      </w:r>
    </w:p>
    <w:p w14:paraId="6070F33C">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2.1.7最小步进：0.01nm； </w:t>
      </w:r>
    </w:p>
    <w:p w14:paraId="68304020">
      <w:pPr>
        <w:pStyle w:val="6"/>
        <w:rPr>
          <w:rFonts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▲2.1.8激发单色器内置软件控制电动滤光片轮消除高级衍射光；</w:t>
      </w:r>
      <w:r>
        <w:rPr>
          <w:rFonts w:hint="eastAsia" w:ascii="宋体" w:hAnsi="宋体" w:eastAsia="宋体" w:cs="宋体"/>
          <w:b/>
          <w:bCs/>
          <w:color w:val="000000" w:themeColor="text1"/>
          <w14:textFill>
            <w14:solidFill>
              <w14:schemeClr w14:val="tx1"/>
            </w14:solidFill>
          </w14:textFill>
        </w:rPr>
        <w:t xml:space="preserve">（须提供软件设置界面截图进行佐证） </w:t>
      </w:r>
    </w:p>
    <w:p w14:paraId="1E190B15">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脉冲激光器：375nm脉冲激光器，重复频率20MHz-20KHz，脉宽≤70ps ；</w:t>
      </w:r>
    </w:p>
    <w:p w14:paraId="41CAD6FB">
      <w:pPr>
        <w:pStyle w:val="6"/>
        <w:rPr>
          <w:rFonts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要求所有光源的切换和选择，均实现一键选择；</w:t>
      </w:r>
      <w:r>
        <w:rPr>
          <w:rFonts w:hint="eastAsia" w:ascii="宋体" w:hAnsi="宋体" w:eastAsia="宋体" w:cs="宋体"/>
          <w:b/>
          <w:bCs/>
          <w:color w:val="000000" w:themeColor="text1"/>
          <w14:textFill>
            <w14:solidFill>
              <w14:schemeClr w14:val="tx1"/>
            </w14:solidFill>
          </w14:textFill>
        </w:rPr>
        <w:t>（须提供软件设置界面截图进行佐证）</w:t>
      </w:r>
    </w:p>
    <w:p w14:paraId="1DA6376C">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信噪比：≥35,000:1，水拉曼峰测试，激发波长350nm，狭缝5nm，积分时间1s，计算公式为S/N=(I</w:t>
      </w:r>
      <w:r>
        <w:rPr>
          <w:rFonts w:hint="eastAsia" w:ascii="宋体" w:hAnsi="宋体" w:eastAsia="宋体" w:cs="宋体"/>
          <w:color w:val="000000" w:themeColor="text1"/>
          <w:vertAlign w:val="subscript"/>
          <w14:textFill>
            <w14:solidFill>
              <w14:schemeClr w14:val="tx1"/>
            </w14:solidFill>
          </w14:textFill>
        </w:rPr>
        <w:t>397</w:t>
      </w:r>
      <w:r>
        <w:rPr>
          <w:rFonts w:hint="eastAsia" w:ascii="宋体" w:hAnsi="宋体" w:eastAsia="宋体" w:cs="宋体"/>
          <w:color w:val="000000" w:themeColor="text1"/>
          <w14:textFill>
            <w14:solidFill>
              <w14:schemeClr w14:val="tx1"/>
            </w14:solidFill>
          </w14:textFill>
        </w:rPr>
        <w:t>-I</w:t>
      </w:r>
      <w:r>
        <w:rPr>
          <w:rFonts w:hint="eastAsia" w:ascii="宋体" w:hAnsi="宋体" w:eastAsia="宋体" w:cs="宋体"/>
          <w:color w:val="000000" w:themeColor="text1"/>
          <w:vertAlign w:val="subscript"/>
          <w14:textFill>
            <w14:solidFill>
              <w14:schemeClr w14:val="tx1"/>
            </w14:solidFill>
          </w14:textFill>
        </w:rPr>
        <w:t>450</w:t>
      </w:r>
      <w:r>
        <w:rPr>
          <w:rFonts w:hint="eastAsia" w:ascii="宋体" w:hAnsi="宋体" w:eastAsia="宋体" w:cs="宋体"/>
          <w:color w:val="000000" w:themeColor="text1"/>
          <w14:textFill>
            <w14:solidFill>
              <w14:schemeClr w14:val="tx1"/>
            </w14:solidFill>
          </w14:textFill>
        </w:rPr>
        <w:t>)/I</w:t>
      </w:r>
      <w:r>
        <w:rPr>
          <w:rFonts w:hint="eastAsia" w:ascii="宋体" w:hAnsi="宋体" w:eastAsia="宋体" w:cs="宋体"/>
          <w:color w:val="000000" w:themeColor="text1"/>
          <w:vertAlign w:val="subscript"/>
          <w14:textFill>
            <w14:solidFill>
              <w14:schemeClr w14:val="tx1"/>
            </w14:solidFill>
          </w14:textFill>
        </w:rPr>
        <w:t>450</w:t>
      </w:r>
      <w:r>
        <w:rPr>
          <w:rFonts w:hint="eastAsia" w:ascii="宋体" w:hAnsi="宋体" w:eastAsia="宋体" w:cs="宋体"/>
          <w:color w:val="000000" w:themeColor="text1"/>
          <w:vertAlign w:val="superscript"/>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w:t>
      </w:r>
    </w:p>
    <w:p w14:paraId="0CA8F4B7">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 探测器及其分光系统； </w:t>
      </w:r>
    </w:p>
    <w:p w14:paraId="48C0D916">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4.1探测器：紫外可见单光子计数光电倍增管； </w:t>
      </w:r>
    </w:p>
    <w:p w14:paraId="2954FB35">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4.1.1光谱范围：200nm - </w:t>
      </w:r>
      <w:r>
        <w:rPr>
          <w:rFonts w:ascii="宋体" w:hAnsi="宋体" w:eastAsia="宋体" w:cs="宋体"/>
          <w:color w:val="000000" w:themeColor="text1"/>
          <w14:textFill>
            <w14:solidFill>
              <w14:schemeClr w14:val="tx1"/>
            </w14:solidFill>
          </w14:textFill>
        </w:rPr>
        <w:t>90</w:t>
      </w:r>
      <w:r>
        <w:rPr>
          <w:rFonts w:hint="eastAsia" w:ascii="宋体" w:hAnsi="宋体" w:eastAsia="宋体" w:cs="宋体"/>
          <w:color w:val="000000" w:themeColor="text1"/>
          <w14:textFill>
            <w14:solidFill>
              <w14:schemeClr w14:val="tx1"/>
            </w14:solidFill>
          </w14:textFill>
        </w:rPr>
        <w:t xml:space="preserve">0nm； </w:t>
      </w:r>
    </w:p>
    <w:p w14:paraId="3C35EE68">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4.1.2半导体制冷模块，工作温度：-20℃；</w:t>
      </w:r>
    </w:p>
    <w:p w14:paraId="7C07D090">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4.1.2暗计数：≤50cps；</w:t>
      </w:r>
    </w:p>
    <w:p w14:paraId="52D91AC6">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4.2 分光系统： </w:t>
      </w:r>
    </w:p>
    <w:p w14:paraId="6DE4FE83">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4.2.1单色器为对称型Czerny-Turne结构，焦距：≥325mm；  </w:t>
      </w:r>
    </w:p>
    <w:p w14:paraId="0504C69A">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4.2.2带宽：0-30nm； </w:t>
      </w:r>
    </w:p>
    <w:p w14:paraId="2343C1B6">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4.2.3波长准确度：±0.2nm；</w:t>
      </w:r>
    </w:p>
    <w:p w14:paraId="796B2CB2">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4.2.4波长重复性：±0.1nm； </w:t>
      </w:r>
    </w:p>
    <w:p w14:paraId="1F9E90BE">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4.2.5最小步进：0.01nm； </w:t>
      </w:r>
    </w:p>
    <w:p w14:paraId="2123880A">
      <w:pPr>
        <w:pStyle w:val="6"/>
        <w:rPr>
          <w:rFonts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▲4.2.6发射单色器内置软件控制电动滤光片轮消除高级衍射光；</w:t>
      </w:r>
      <w:r>
        <w:rPr>
          <w:rFonts w:hint="eastAsia" w:ascii="宋体" w:hAnsi="宋体" w:eastAsia="宋体" w:cs="宋体"/>
          <w:b/>
          <w:bCs/>
          <w:color w:val="000000" w:themeColor="text1"/>
          <w14:textFill>
            <w14:solidFill>
              <w14:schemeClr w14:val="tx1"/>
            </w14:solidFill>
          </w14:textFill>
        </w:rPr>
        <w:t xml:space="preserve">（须提供软件设置界面截图进行佐证） </w:t>
      </w:r>
    </w:p>
    <w:p w14:paraId="6B26B841">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 数据采集软件系统 ：</w:t>
      </w:r>
    </w:p>
    <w:p w14:paraId="47778089">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5.1 集成单光子计数（SPC）、时间相关单光子计数（TCSPC）测量、多通道单光子计数（MCS）、模拟信号测量； </w:t>
      </w:r>
    </w:p>
    <w:p w14:paraId="4E8AE967">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 寿命测试范围100ps-10s；</w:t>
      </w:r>
    </w:p>
    <w:p w14:paraId="4228E1E5">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 荧光寿命测试模块：荧光寿命最小时间分辨率：≤310fs，以最小时间窗口除以最大通道数计算</w:t>
      </w:r>
      <w:r>
        <w:rPr>
          <w:rFonts w:hint="eastAsia" w:ascii="宋体" w:hAnsi="宋体" w:eastAsia="宋体" w:cs="宋体"/>
          <w:b/>
          <w:bCs/>
          <w:color w:val="000000" w:themeColor="text1"/>
          <w14:textFill>
            <w14:solidFill>
              <w14:schemeClr w14:val="tx1"/>
            </w14:solidFill>
          </w14:textFill>
        </w:rPr>
        <w:t>（须提供软件设置界面截图进行佐证）</w:t>
      </w:r>
    </w:p>
    <w:p w14:paraId="356EE0FD">
      <w:pPr>
        <w:pStyle w:val="6"/>
        <w:rPr>
          <w:rFonts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★5.4磷光寿命测试模块：磷光寿命最小时间分辨率：≤10ns，以最小时间窗口除以最大通道数计算</w:t>
      </w:r>
      <w:r>
        <w:rPr>
          <w:rFonts w:hint="eastAsia" w:ascii="宋体" w:hAnsi="宋体" w:eastAsia="宋体" w:cs="宋体"/>
          <w:b/>
          <w:bCs/>
          <w:color w:val="000000" w:themeColor="text1"/>
          <w14:textFill>
            <w14:solidFill>
              <w14:schemeClr w14:val="tx1"/>
            </w14:solidFill>
          </w14:textFill>
        </w:rPr>
        <w:t>（须提供软件设置界面截图进行佐证）</w:t>
      </w:r>
    </w:p>
    <w:p w14:paraId="79BA18BB">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▲5.5 数据采集卡具有forward以及reverse双采集模式，同步兼顾时间分辨率以及采集速率；</w:t>
      </w:r>
      <w:r>
        <w:rPr>
          <w:rFonts w:hint="eastAsia" w:ascii="宋体" w:hAnsi="宋体" w:eastAsia="宋体" w:cs="宋体"/>
          <w:b/>
          <w:bCs/>
          <w:color w:val="000000" w:themeColor="text1"/>
          <w14:textFill>
            <w14:solidFill>
              <w14:schemeClr w14:val="tx1"/>
            </w14:solidFill>
          </w14:textFill>
        </w:rPr>
        <w:t>（须提供软件设置界面截图进行佐证）</w:t>
      </w:r>
    </w:p>
    <w:p w14:paraId="7353C16E">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5.6 最大光子计数率：100MHz；</w:t>
      </w:r>
    </w:p>
    <w:p w14:paraId="6F3090C5">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多功能样品仓：</w:t>
      </w:r>
    </w:p>
    <w:p w14:paraId="352EC07D">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6.1六方形样品仓内标配用于保护探测器的快门开关；计算机控制的信号衰减器； </w:t>
      </w:r>
    </w:p>
    <w:p w14:paraId="5D9B5D0A">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6.2液体样品池支架：可使用标准10*10mm比色皿进行测试，并带有温度传感器的循环水出入口；</w:t>
      </w:r>
    </w:p>
    <w:p w14:paraId="2C4D3C79">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6.4前表面固体样品支架</w:t>
      </w:r>
      <w:bookmarkStart w:id="0" w:name="OLE_LINK1"/>
      <w:r>
        <w:rPr>
          <w:rFonts w:hint="eastAsia" w:ascii="宋体" w:hAnsi="宋体" w:eastAsia="宋体" w:cs="宋体"/>
          <w:color w:val="000000" w:themeColor="text1"/>
          <w14:textFill>
            <w14:solidFill>
              <w14:schemeClr w14:val="tx1"/>
            </w14:solidFill>
          </w14:textFill>
        </w:rPr>
        <w:t>：测试固体、薄膜、粉末、高浓度液体及浑浊液体前表面荧光，可以在样品仓外部微调支架位置，实现最优化的激发</w:t>
      </w:r>
      <w:bookmarkEnd w:id="0"/>
      <w:r>
        <w:rPr>
          <w:rFonts w:hint="eastAsia" w:ascii="宋体" w:hAnsi="宋体" w:eastAsia="宋体" w:cs="宋体"/>
          <w:color w:val="000000" w:themeColor="text1"/>
          <w14:textFill>
            <w14:solidFill>
              <w14:schemeClr w14:val="tx1"/>
            </w14:solidFill>
          </w14:textFill>
        </w:rPr>
        <w:t>；</w:t>
      </w:r>
    </w:p>
    <w:p w14:paraId="2A15C0C1">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6.5低温恒温器附件：</w:t>
      </w:r>
    </w:p>
    <w:p w14:paraId="1F907AF1">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6.5.1温控范围-196℃到550℃；</w:t>
      </w:r>
    </w:p>
    <w:p w14:paraId="04C92654">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6.5.2温度稳定性：±0.1℃；</w:t>
      </w:r>
    </w:p>
    <w:p w14:paraId="33D00F87">
      <w:pPr>
        <w:pStyle w:val="6"/>
        <w:rPr>
          <w:rFonts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▲6.5.3可通过荧光操作界面与低温恒温器进行通讯，反控低温恒温器测试系统，实现在操作界面控制下自动测试一系列温度依赖的稳态和瞬态荧光光谱。</w:t>
      </w:r>
      <w:r>
        <w:rPr>
          <w:rFonts w:hint="eastAsia" w:ascii="宋体" w:hAnsi="宋体" w:eastAsia="宋体" w:cs="宋体"/>
          <w:b/>
          <w:bCs/>
          <w:color w:val="000000" w:themeColor="text1"/>
          <w14:textFill>
            <w14:solidFill>
              <w14:schemeClr w14:val="tx1"/>
            </w14:solidFill>
          </w14:textFill>
        </w:rPr>
        <w:t>（须提供软件设置界面截图进行佐证）</w:t>
      </w:r>
    </w:p>
    <w:p w14:paraId="4FF06B8F">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6.6滤光片套件：330nm、395nm、455nm、495nm、550nm、590nm和645nm各一片；</w:t>
      </w:r>
    </w:p>
    <w:p w14:paraId="7BFE3040">
      <w:pPr>
        <w:pStyle w:val="6"/>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二、仪器配置：</w:t>
      </w:r>
    </w:p>
    <w:p w14:paraId="618DFCE3">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1.瞬态-稳态光谱仪主机1台，包括：</w:t>
      </w:r>
    </w:p>
    <w:p w14:paraId="1F2B7133">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1.1激发单色器（三光栅塔轮结构，标配电动滤光片轮）1个；</w:t>
      </w:r>
    </w:p>
    <w:p w14:paraId="60A2781C">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1.2发射单色器（三光栅塔轮结构，标配电动滤光片轮）1个；</w:t>
      </w:r>
    </w:p>
    <w:p w14:paraId="53E6A80E">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1.3多功能样品仓1个；</w:t>
      </w:r>
    </w:p>
    <w:p w14:paraId="52CA11C7">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1.4液体样品池支架1个；</w:t>
      </w:r>
    </w:p>
    <w:p w14:paraId="2D18E054">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1.5荧光寿命测试模块1套；</w:t>
      </w:r>
    </w:p>
    <w:p w14:paraId="2E62B29C">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1.6磷光寿命测试模块1套；</w:t>
      </w:r>
    </w:p>
    <w:p w14:paraId="1B6AD813">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1.7电制冷紫外可见光电倍增管检测器1个；</w:t>
      </w:r>
    </w:p>
    <w:p w14:paraId="6CF01CBA">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2.前表面固体样品支架1套；</w:t>
      </w:r>
    </w:p>
    <w:p w14:paraId="528B04E1">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3.375nm脉冲激光器1套；</w:t>
      </w:r>
    </w:p>
    <w:p w14:paraId="3A470893">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4.低温恒温器附件1套；</w:t>
      </w:r>
    </w:p>
    <w:p w14:paraId="5220CB43">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5.带盖比色皿1个；</w:t>
      </w:r>
    </w:p>
    <w:p w14:paraId="4F22BDB4">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6.滤光片套件1套。</w:t>
      </w:r>
    </w:p>
    <w:p w14:paraId="7352DA58">
      <w:pPr>
        <w:pStyle w:val="3"/>
        <w:widowControl/>
        <w:jc w:val="left"/>
        <w:rPr>
          <w:rFonts w:ascii="宋体" w:hAnsi="宋体" w:eastAsia="宋体" w:cs="宋体"/>
          <w:color w:val="000000" w:themeColor="text1"/>
          <w14:textFill>
            <w14:solidFill>
              <w14:schemeClr w14:val="tx1"/>
            </w14:solidFill>
          </w14:textFill>
        </w:rPr>
      </w:pPr>
    </w:p>
    <w:p w14:paraId="2828AC48"/>
    <w:sectPr>
      <w:pgSz w:w="11906" w:h="16838"/>
      <w:pgMar w:top="1701"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A75CD"/>
    <w:rsid w:val="1C94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rPr>
      <w:sz w:val="24"/>
      <w:szCs w:val="24"/>
    </w:rPr>
  </w:style>
  <w:style w:type="paragraph" w:customStyle="1" w:styleId="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1275</Words>
  <Characters>1651</Characters>
  <Lines>0</Lines>
  <Paragraphs>0</Paragraphs>
  <TotalTime>0</TotalTime>
  <ScaleCrop>false</ScaleCrop>
  <LinksUpToDate>false</LinksUpToDate>
  <CharactersWithSpaces>1690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2025-06-25T01:41:00Z</dcterms:created>
  <dc:creator>Lenovo</dc:creator>
  <cp:lastModifiedBy>Lenovo</cp:lastModifiedBy>
  <dcterms:modified xsi:type="dcterms:W3CDTF">2025-06-25T01:41:34Z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eyJoZGlkIjoiMmI2ZTY5Njc3ZDNkZDYzMTMyMTg2OTgxMzNkNDgwZDYifQ==</vt:lpwstr>
  </property>
  <property fmtid="{D5CDD505-2E9C-101B-9397-08002B2CF9AE}" pid="4" name="ICV">
    <vt:lpwstr>29E694D8B11E4ED8A4C92202E33022CC_12</vt:lpwstr>
  </property>
</Properties>
</file>